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65" w:rsidRPr="00537AD5" w:rsidRDefault="002C0665" w:rsidP="002C0665">
      <w:pPr>
        <w:pStyle w:val="Heading1"/>
        <w:spacing w:before="120" w:after="120" w:line="360" w:lineRule="auto"/>
        <w:jc w:val="both"/>
        <w:rPr>
          <w:rFonts w:ascii="Times New Roman" w:hAnsi="Times New Roman" w:cs="Times New Roman"/>
          <w:b w:val="0"/>
          <w:color w:val="auto"/>
          <w:lang w:val="pt-BR" w:eastAsia="zh-CN"/>
        </w:rPr>
      </w:pPr>
      <w:r w:rsidRPr="00537AD5">
        <w:rPr>
          <w:rFonts w:ascii="Times New Roman" w:hAnsi="Times New Roman" w:cs="Times New Roman"/>
          <w:color w:val="auto"/>
          <w:sz w:val="24"/>
          <w:szCs w:val="24"/>
          <w:lang w:val="pt-BR"/>
        </w:rPr>
        <w:t xml:space="preserve">CHUYỂN MÃ (Code Switching), </w:t>
      </w:r>
      <w:r w:rsidRPr="00537AD5">
        <w:rPr>
          <w:rFonts w:ascii="Times New Roman" w:hAnsi="Times New Roman" w:cs="Times New Roman"/>
          <w:b w:val="0"/>
          <w:color w:val="auto"/>
          <w:lang w:val="pt-BR" w:eastAsia="zh-CN"/>
        </w:rPr>
        <w:t>hiện tượng một cá nhân song ngữ cùng lúc sử dụng luân phiên các yếu tố từ hai hay nhiều ngôn ngữ hay phương ngữ khác nhau trong giao tiếp. Hiện tượng CM được quan tâm nghiên cứu từ nhiều phân ngành ngôn ngữ học khác nhau như ng</w:t>
      </w:r>
      <w:r w:rsidRPr="00537AD5">
        <w:rPr>
          <w:rFonts w:ascii="Times New Roman" w:eastAsia="SimSun" w:hAnsi="Times New Roman" w:cs="Times New Roman"/>
          <w:b w:val="0"/>
          <w:color w:val="auto"/>
          <w:lang w:val="pt-BR" w:eastAsia="zh-CN"/>
        </w:rPr>
        <w:t>ô</w:t>
      </w:r>
      <w:r w:rsidRPr="00537AD5">
        <w:rPr>
          <w:rFonts w:ascii="Times New Roman" w:hAnsi="Times New Roman" w:cs="Times New Roman"/>
          <w:b w:val="0"/>
          <w:color w:val="auto"/>
          <w:lang w:val="pt-BR" w:eastAsia="zh-CN"/>
        </w:rPr>
        <w:t>n ngữ học cấu trúc, ngôn ngữ học xã hội, ngôn ngữ học tâm lí, nhân học ngôn ngữ,…</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Công trình đầu tiên đề cập đến vấn đề CM là nghiên cứu của Baker G. (1947) về quá trình sử dụng ngôn ngữ của người Mỹ Mexico ở Tucson, Arizona. Tác giả đặt ra câu hỏi: “Tại sao có những cá nhân song ngữ trong một số trường hợp này lại sử dụng ngôn ngữ của tổ tiên còn trong một số trường hợp khác lại sử dụng tiếng Anh, và trong một số trường hợp khác nữa lại luân phiên sử dụng hai ngôn ngữ này mà không có lí do thực sự rõ ràng nào cả?” và cho rằng mối quan hệ thân hữu, bản sắc cá nhân và bối cảnh là những nhân tố chi phối sự lựa chọn và CM của những cá nhân song ngữ. Tuy nhiên, thuật ngữ CM lần đầu tiên xuất hiện trong công trình của Weinreich “Languages in Contact” (1953). Weinreich gợi ý rằng các cá nhân song ngữ sở hữu hai biến thể ngôn ngữ khác biệt và họ sử dụng luân phiên chúng (CM) trong những trường hợp riêng biệt.</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Mặc dù hiện tượng CM được nhắc đến từ những năm 1950-1960 nhưng phải đến công trình của Blom và Gumperz (1972) về thực trạng sử dụng ngôn ngữ ở Hemnesberget, một làng nhỏ ở phía Bắc của Na-Uy, thì CM mới chính thức trở thành một hướng nghiên cứu lớn trong Ngôn ngữ học. Blom và Gumperz phát hiện rằng ở làng Hemnesberget có hai biến thể của tiếng Na-Uy được song song sử dụng: tiếng Ramanal, biến thể địa phương v</w:t>
      </w:r>
      <w:r w:rsidRPr="00537AD5">
        <w:rPr>
          <w:rFonts w:eastAsia="SimSun"/>
          <w:lang w:val="pt-BR" w:eastAsia="zh-CN"/>
        </w:rPr>
        <w:t>à</w:t>
      </w:r>
      <w:r w:rsidRPr="00537AD5">
        <w:rPr>
          <w:rFonts w:eastAsiaTheme="majorEastAsia"/>
          <w:lang w:val="pt-BR" w:eastAsia="zh-CN"/>
        </w:rPr>
        <w:t xml:space="preserve"> Bokmal, biến thể chuẩn. Người ta dùng Ramanal cho các hoạt động và với các mối quan hệ trong thôn xóm để nhấn mạnh bản sắc và văn h</w:t>
      </w:r>
      <w:r w:rsidRPr="00537AD5">
        <w:rPr>
          <w:rFonts w:eastAsia="SimSun"/>
          <w:lang w:val="pt-BR" w:eastAsia="zh-CN"/>
        </w:rPr>
        <w:t>ó</w:t>
      </w:r>
      <w:r w:rsidRPr="00537AD5">
        <w:rPr>
          <w:rFonts w:eastAsiaTheme="majorEastAsia"/>
          <w:lang w:val="pt-BR" w:eastAsia="zh-CN"/>
        </w:rPr>
        <w:t>a địa phương. Ngược lại, Bokmal được sử dùng trong các bối cảnh trang trọng, trong nhà trường, nhà thờ, trên các phương tiện thông tin đại chúng v.v. để tạo khoảng cách giữa người nói và bản sắc địa phương. Blom v</w:t>
      </w:r>
      <w:r w:rsidRPr="00537AD5">
        <w:rPr>
          <w:rFonts w:eastAsia="SimSun"/>
          <w:lang w:val="pt-BR" w:eastAsia="zh-CN"/>
        </w:rPr>
        <w:t>à</w:t>
      </w:r>
      <w:r w:rsidRPr="00537AD5">
        <w:rPr>
          <w:rFonts w:eastAsiaTheme="majorEastAsia"/>
          <w:lang w:val="pt-BR" w:eastAsia="zh-CN"/>
        </w:rPr>
        <w:t xml:space="preserve"> Gumperz ph</w:t>
      </w:r>
      <w:r w:rsidRPr="00537AD5">
        <w:rPr>
          <w:rFonts w:eastAsia="SimSun"/>
          <w:lang w:val="pt-BR" w:eastAsia="zh-CN"/>
        </w:rPr>
        <w:t>â</w:t>
      </w:r>
      <w:r w:rsidRPr="00537AD5">
        <w:rPr>
          <w:rFonts w:eastAsiaTheme="majorEastAsia"/>
          <w:lang w:val="pt-BR" w:eastAsia="zh-CN"/>
        </w:rPr>
        <w:t xml:space="preserve">n biệt hai chức năng của CM: CM tình huống và CM ẩn dụ. Trong CM tình huống, sự lựa chọn biến thể ngôn ngữ của người nói bị chi </w:t>
      </w:r>
      <w:r w:rsidRPr="00537AD5">
        <w:rPr>
          <w:rFonts w:eastAsiaTheme="majorEastAsia"/>
          <w:lang w:val="pt-BR" w:eastAsia="zh-CN"/>
        </w:rPr>
        <w:lastRenderedPageBreak/>
        <w:t>phối bởi các yếu tố của tình huống như chủ đề cuộc thoại, vị thế của người nghe, hay khung cảnh diễn ra cuộc thoại. CM ẩn dụ xảy ra trong cùng một tình huống hội thoại (không thay đổi chủ đề, người tham gia hay khung cảnh) để biểu đạt một ý nghĩa x</w:t>
      </w:r>
      <w:r w:rsidRPr="00537AD5">
        <w:rPr>
          <w:rFonts w:eastAsia="SimSun"/>
          <w:lang w:val="pt-BR" w:eastAsia="zh-CN"/>
        </w:rPr>
        <w:t>ã</w:t>
      </w:r>
      <w:r w:rsidRPr="00537AD5">
        <w:rPr>
          <w:rFonts w:eastAsiaTheme="majorEastAsia"/>
          <w:lang w:val="pt-BR" w:eastAsia="zh-CN"/>
        </w:rPr>
        <w:t xml:space="preserve"> hội nào đ</w:t>
      </w:r>
      <w:r w:rsidRPr="00537AD5">
        <w:rPr>
          <w:rFonts w:eastAsia="SimSun"/>
          <w:lang w:val="pt-BR" w:eastAsia="zh-CN"/>
        </w:rPr>
        <w:t>ó</w:t>
      </w:r>
      <w:r w:rsidRPr="00537AD5">
        <w:rPr>
          <w:rFonts w:eastAsiaTheme="majorEastAsia"/>
          <w:lang w:val="pt-BR" w:eastAsia="zh-CN"/>
        </w:rPr>
        <w:t>, giống như khi ta lựa chọn ẩn dụ để biểu đạt những ý tưởng phức tạp.</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Công trình của Blom và Gumperz có ý nghĩa quan trọng vì nó cho thấy CM là một hiện tượng phức tạp chứ không đơn giản chỉ bởi vì họ thiếu vốn từ nên phải CM như thường nhấn mạnh trong những công trình trước đ</w:t>
      </w:r>
      <w:r w:rsidRPr="00537AD5">
        <w:rPr>
          <w:rFonts w:eastAsia="SimSun"/>
          <w:lang w:val="pt-BR" w:eastAsia="zh-CN"/>
        </w:rPr>
        <w:t>ó</w:t>
      </w:r>
      <w:r w:rsidRPr="00537AD5">
        <w:rPr>
          <w:rFonts w:eastAsiaTheme="majorEastAsia"/>
          <w:lang w:val="pt-BR" w:eastAsia="zh-CN"/>
        </w:rPr>
        <w:t>. C</w:t>
      </w:r>
      <w:r w:rsidRPr="00537AD5">
        <w:rPr>
          <w:rFonts w:eastAsia="SimSun"/>
          <w:lang w:val="pt-BR" w:eastAsia="zh-CN"/>
        </w:rPr>
        <w:t>á</w:t>
      </w:r>
      <w:r w:rsidRPr="00537AD5">
        <w:rPr>
          <w:rFonts w:eastAsiaTheme="majorEastAsia"/>
          <w:lang w:val="pt-BR" w:eastAsia="zh-CN"/>
        </w:rPr>
        <w:t>c kh</w:t>
      </w:r>
      <w:r w:rsidRPr="00537AD5">
        <w:rPr>
          <w:rFonts w:eastAsia="SimSun"/>
          <w:lang w:val="pt-BR" w:eastAsia="zh-CN"/>
        </w:rPr>
        <w:t>á</w:t>
      </w:r>
      <w:r w:rsidRPr="00537AD5">
        <w:rPr>
          <w:rFonts w:eastAsiaTheme="majorEastAsia"/>
          <w:lang w:val="pt-BR" w:eastAsia="zh-CN"/>
        </w:rPr>
        <w:t>i niệm CM tình huống và CM ẩn dụ đ</w:t>
      </w:r>
      <w:r w:rsidRPr="00537AD5">
        <w:rPr>
          <w:rFonts w:eastAsia="SimSun"/>
          <w:lang w:val="pt-BR" w:eastAsia="zh-CN"/>
        </w:rPr>
        <w:t>ã</w:t>
      </w:r>
      <w:r w:rsidRPr="00537AD5">
        <w:rPr>
          <w:rFonts w:eastAsiaTheme="majorEastAsia"/>
          <w:lang w:val="pt-BR" w:eastAsia="zh-CN"/>
        </w:rPr>
        <w:t xml:space="preserve"> được nhiều nhà ngôn ngữ học xã hội, ngôn ngữ học nhân học sử dụng trong nhiều công trình nghiên cứu sau này. Tuy nhiên, nhiều nhà nghiên cứu cũng chỉ ra những hạn chế trong cách miêu tả sử dụng ngôn ngữ của Blom và Gumperz. Bản thân Gumperz có lẽ cũng </w:t>
      </w:r>
      <w:r w:rsidRPr="00537AD5">
        <w:rPr>
          <w:rFonts w:eastAsia="SimSun"/>
          <w:lang w:val="pt-BR" w:eastAsia="zh-CN"/>
        </w:rPr>
        <w:t>ý</w:t>
      </w:r>
      <w:r w:rsidRPr="00537AD5">
        <w:rPr>
          <w:rFonts w:eastAsiaTheme="majorEastAsia"/>
          <w:lang w:val="pt-BR" w:eastAsia="zh-CN"/>
        </w:rPr>
        <w:t xml:space="preserve"> thức được sự chưa ho</w:t>
      </w:r>
      <w:r w:rsidRPr="00537AD5">
        <w:rPr>
          <w:rFonts w:eastAsia="SimSun"/>
          <w:lang w:val="pt-BR" w:eastAsia="zh-CN"/>
        </w:rPr>
        <w:t>à</w:t>
      </w:r>
      <w:r w:rsidRPr="00537AD5">
        <w:rPr>
          <w:rFonts w:eastAsiaTheme="majorEastAsia"/>
          <w:lang w:val="pt-BR" w:eastAsia="zh-CN"/>
        </w:rPr>
        <w:t>n thiện trong cách phân chia CM tình huống và CM ẩn dụ nên trong công trình năm 1982 đ</w:t>
      </w:r>
      <w:r w:rsidRPr="00537AD5">
        <w:rPr>
          <w:rFonts w:eastAsia="SimSun"/>
          <w:lang w:val="pt-BR" w:eastAsia="zh-CN"/>
        </w:rPr>
        <w:t>ã</w:t>
      </w:r>
      <w:r w:rsidRPr="00537AD5">
        <w:rPr>
          <w:rFonts w:eastAsiaTheme="majorEastAsia"/>
          <w:lang w:val="pt-BR" w:eastAsia="zh-CN"/>
        </w:rPr>
        <w:t xml:space="preserve"> gợi ý dùng thuật ngữ CM hội thoại (conversational code switching), mở đầu cho một hướng nghiên cứu mới về CM.</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Gumperz (1982) định nghĩa: </w:t>
      </w:r>
      <w:r w:rsidRPr="00537AD5">
        <w:rPr>
          <w:rFonts w:eastAsia="SimSun"/>
          <w:lang w:val="pt-BR" w:eastAsia="zh-CN"/>
        </w:rPr>
        <w:t>“</w:t>
      </w:r>
      <w:r w:rsidRPr="00537AD5">
        <w:rPr>
          <w:rFonts w:eastAsiaTheme="majorEastAsia"/>
          <w:lang w:val="pt-BR" w:eastAsia="zh-CN"/>
        </w:rPr>
        <w:t>CM hội thoại là sự luân phiên trong cùng cặp thoại các đoạn lời nói thuộc về hai hệ thống hay tiểu hệ thống ngữ pháp khác nhau” (tr. 59). CM hội thoại khác với CM tình  huống ở chỗ sự xuất hiện của nó không bị chi phối bởi sự thay đổi nhân vật hội thoại, chủ đề hay tình huống. Nó xuất hiện trong cuộc thoại, và có thể ngay trong một lượt lời. Các nghiên cứu CM hội thoại thường tập trung vào tìm hiểu ba nội dung lớn, đ</w:t>
      </w:r>
      <w:r w:rsidRPr="00537AD5">
        <w:rPr>
          <w:rFonts w:eastAsia="SimSun"/>
          <w:lang w:val="pt-BR" w:eastAsia="zh-CN"/>
        </w:rPr>
        <w:t>ó</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 xml:space="preserve"> c</w:t>
      </w:r>
      <w:r w:rsidRPr="00537AD5">
        <w:rPr>
          <w:rFonts w:eastAsia="SimSun"/>
          <w:lang w:val="pt-BR" w:eastAsia="zh-CN"/>
        </w:rPr>
        <w:t>á</w:t>
      </w:r>
      <w:r w:rsidRPr="00537AD5">
        <w:rPr>
          <w:rFonts w:eastAsiaTheme="majorEastAsia"/>
          <w:lang w:val="pt-BR" w:eastAsia="zh-CN"/>
        </w:rPr>
        <w:t>c nh</w:t>
      </w:r>
      <w:r w:rsidRPr="00537AD5">
        <w:rPr>
          <w:rFonts w:eastAsia="SimSun"/>
          <w:lang w:val="pt-BR" w:eastAsia="zh-CN"/>
        </w:rPr>
        <w:t>â</w:t>
      </w:r>
      <w:r w:rsidRPr="00537AD5">
        <w:rPr>
          <w:rFonts w:eastAsiaTheme="majorEastAsia"/>
          <w:lang w:val="pt-BR" w:eastAsia="zh-CN"/>
        </w:rPr>
        <w:t>n tố chi phối sự CM, các chức năng tu từ và dụng học của CM, và các đặc trưng ng</w:t>
      </w:r>
      <w:r w:rsidRPr="00537AD5">
        <w:rPr>
          <w:rFonts w:eastAsia="SimSun"/>
          <w:lang w:val="pt-BR" w:eastAsia="zh-CN"/>
        </w:rPr>
        <w:t>ô</w:t>
      </w:r>
      <w:r w:rsidRPr="00537AD5">
        <w:rPr>
          <w:rFonts w:eastAsiaTheme="majorEastAsia"/>
          <w:lang w:val="pt-BR" w:eastAsia="zh-CN"/>
        </w:rPr>
        <w:t>n ngữ của diễn ngôn có chứa CM. Bản thân Gumperz (1982) cũng gợi ý sáu chức năng phổ biến của CM hội thoại và nhấn mạnh rằng danh sách này chỉ là gợi ý ban đầu. Sáu chức năng đ</w:t>
      </w:r>
      <w:r w:rsidRPr="00537AD5">
        <w:rPr>
          <w:rFonts w:eastAsia="SimSun"/>
          <w:lang w:val="pt-BR" w:eastAsia="zh-CN"/>
        </w:rPr>
        <w:t>ó</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 đ</w:t>
      </w:r>
      <w:r w:rsidRPr="00537AD5">
        <w:rPr>
          <w:rFonts w:eastAsia="SimSun"/>
          <w:lang w:val="pt-BR" w:eastAsia="zh-CN"/>
        </w:rPr>
        <w:t>á</w:t>
      </w:r>
      <w:r w:rsidRPr="00537AD5">
        <w:rPr>
          <w:rFonts w:eastAsiaTheme="majorEastAsia"/>
          <w:lang w:val="pt-BR" w:eastAsia="zh-CN"/>
        </w:rPr>
        <w:t>nh dấu lời dẫn, cụ thể hóa người nghe, cảm thán, lặp, hạn định thông điệp, và “nhân hóa so với khách quan hóa”. Nhiều nhà nghiên cứu khác đ</w:t>
      </w:r>
      <w:r w:rsidRPr="00537AD5">
        <w:rPr>
          <w:rFonts w:eastAsia="SimSun"/>
          <w:lang w:val="pt-BR" w:eastAsia="zh-CN"/>
        </w:rPr>
        <w:t>ã</w:t>
      </w:r>
      <w:r w:rsidRPr="00537AD5">
        <w:rPr>
          <w:rFonts w:eastAsiaTheme="majorEastAsia"/>
          <w:lang w:val="pt-BR" w:eastAsia="zh-CN"/>
        </w:rPr>
        <w:t xml:space="preserve"> tiếp tục nghiên cứu sâu hơn v</w:t>
      </w:r>
      <w:r w:rsidRPr="00537AD5">
        <w:rPr>
          <w:rFonts w:eastAsia="SimSun"/>
          <w:lang w:val="pt-BR" w:eastAsia="zh-CN"/>
        </w:rPr>
        <w:t>à</w:t>
      </w:r>
      <w:r w:rsidRPr="00537AD5">
        <w:rPr>
          <w:rFonts w:eastAsiaTheme="majorEastAsia"/>
          <w:lang w:val="pt-BR" w:eastAsia="zh-CN"/>
        </w:rPr>
        <w:t xml:space="preserve"> đưa ra danh s</w:t>
      </w:r>
      <w:r w:rsidRPr="00537AD5">
        <w:rPr>
          <w:rFonts w:eastAsia="SimSun"/>
          <w:lang w:val="pt-BR" w:eastAsia="zh-CN"/>
        </w:rPr>
        <w:t>á</w:t>
      </w:r>
      <w:r w:rsidRPr="00537AD5">
        <w:rPr>
          <w:rFonts w:eastAsiaTheme="majorEastAsia"/>
          <w:lang w:val="pt-BR" w:eastAsia="zh-CN"/>
        </w:rPr>
        <w:t>ch c</w:t>
      </w:r>
      <w:r w:rsidRPr="00537AD5">
        <w:rPr>
          <w:rFonts w:eastAsia="SimSun"/>
          <w:lang w:val="pt-BR" w:eastAsia="zh-CN"/>
        </w:rPr>
        <w:t>á</w:t>
      </w:r>
      <w:r w:rsidRPr="00537AD5">
        <w:rPr>
          <w:rFonts w:eastAsiaTheme="majorEastAsia"/>
          <w:lang w:val="pt-BR" w:eastAsia="zh-CN"/>
        </w:rPr>
        <w:t>c chức năng CM hội thoại của riêng mình.</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lastRenderedPageBreak/>
        <w:t>Hiện tượng CM cũng đặc biệt thu hút sự chú ý của các nhà ngữ pháp học bởi vì nó liên quan đến sự giao thoa các quy tắc ngữ pháp của các hệ thống khác nhau. Các nghiên cứu về bình diện ngữ pháp của CM thường tập trung vào bốn nội dung lớn, đ</w:t>
      </w:r>
      <w:r w:rsidRPr="00537AD5">
        <w:rPr>
          <w:rFonts w:eastAsia="SimSun"/>
          <w:lang w:val="pt-BR" w:eastAsia="zh-CN"/>
        </w:rPr>
        <w:t>ó</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 xml:space="preserve"> c</w:t>
      </w:r>
      <w:r w:rsidRPr="00537AD5">
        <w:rPr>
          <w:rFonts w:eastAsia="SimSun"/>
          <w:lang w:val="pt-BR" w:eastAsia="zh-CN"/>
        </w:rPr>
        <w:t>á</w:t>
      </w:r>
      <w:r w:rsidRPr="00537AD5">
        <w:rPr>
          <w:rFonts w:eastAsiaTheme="majorEastAsia"/>
          <w:lang w:val="pt-BR" w:eastAsia="zh-CN"/>
        </w:rPr>
        <w:t>c hạn định ngôn ngữ của CM, tính phổ niệm của các hạn định, mô hình ngữ pháp của CM, và tính có giá trị của các giả định về các hạn định ngữ pháp của CM. Việc phân tích các đặc trưng ngữ pháp của các phát ngôn chứa CM phụ thuộc vào kết quả nhận diện vị trí CM. Sankoff và Poplack (1981) phân biệt ba loại CM. Loại thứ nhất là CM phụ cú (tag switching) bao gồm việc chêm một từ/ngữ vào trong phát ngôn nhằm mục đ</w:t>
      </w:r>
      <w:r w:rsidRPr="00537AD5">
        <w:rPr>
          <w:rFonts w:eastAsia="SimSun"/>
          <w:lang w:val="pt-BR" w:eastAsia="zh-CN"/>
        </w:rPr>
        <w:t>í</w:t>
      </w:r>
      <w:r w:rsidRPr="00537AD5">
        <w:rPr>
          <w:rFonts w:eastAsiaTheme="majorEastAsia"/>
          <w:lang w:val="pt-BR" w:eastAsia="zh-CN"/>
        </w:rPr>
        <w:t>ch nhấn mạnh. Vị trí CM có thể ở giữa hoặc cuối phát ngôn. Loại thứ hai là CM liên câu (intersentential switching), xảy ra ở cấp độ câu hoặc mệnh đề. Nghĩa l</w:t>
      </w:r>
      <w:r w:rsidRPr="00537AD5">
        <w:rPr>
          <w:rFonts w:eastAsia="SimSun"/>
          <w:lang w:val="pt-BR" w:eastAsia="zh-CN"/>
        </w:rPr>
        <w:t>à</w:t>
      </w:r>
      <w:r w:rsidRPr="00537AD5">
        <w:rPr>
          <w:rFonts w:eastAsiaTheme="majorEastAsia"/>
          <w:lang w:val="pt-BR" w:eastAsia="zh-CN"/>
        </w:rPr>
        <w:t xml:space="preserve"> người nói kết thúc một hay nhiều câu/mệnh đề bằng ngôn ngữ A trước khi chuyển sang ngôn ngữ B. Loại thứ ba là CM nội câu (intrasentential switching), có điểm CM trong phạm vi của mệnh đề hay câu. </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Tóm lại, CM là một hiện tượng ngôn ngữ thú vị và có thể được nghiên cứu từ nhiều góc độ và cách tiếp cận khác nhau.Các nghiên cứu hiện có đ</w:t>
      </w:r>
      <w:r w:rsidRPr="00537AD5">
        <w:rPr>
          <w:rFonts w:eastAsia="SimSun"/>
          <w:lang w:val="pt-BR" w:eastAsia="zh-CN"/>
        </w:rPr>
        <w:t>ã</w:t>
      </w:r>
      <w:r w:rsidRPr="00537AD5">
        <w:rPr>
          <w:rFonts w:eastAsiaTheme="majorEastAsia"/>
          <w:lang w:val="pt-BR" w:eastAsia="zh-CN"/>
        </w:rPr>
        <w:t xml:space="preserve"> cho ch</w:t>
      </w:r>
      <w:r w:rsidRPr="00537AD5">
        <w:rPr>
          <w:rFonts w:eastAsia="SimSun"/>
          <w:lang w:val="pt-BR" w:eastAsia="zh-CN"/>
        </w:rPr>
        <w:t>ú</w:t>
      </w:r>
      <w:r w:rsidRPr="00537AD5">
        <w:rPr>
          <w:rFonts w:eastAsiaTheme="majorEastAsia"/>
          <w:lang w:val="pt-BR" w:eastAsia="zh-CN"/>
        </w:rPr>
        <w:t>ng ta những hiểu biết sâu sắc về bản chất, quá trình, chức năng v</w:t>
      </w:r>
      <w:r w:rsidRPr="00537AD5">
        <w:rPr>
          <w:rFonts w:eastAsia="SimSun"/>
          <w:lang w:val="pt-BR" w:eastAsia="zh-CN"/>
        </w:rPr>
        <w:t>à</w:t>
      </w:r>
      <w:r w:rsidRPr="00537AD5">
        <w:rPr>
          <w:rFonts w:eastAsiaTheme="majorEastAsia"/>
          <w:lang w:val="pt-BR" w:eastAsia="zh-CN"/>
        </w:rPr>
        <w:t xml:space="preserve"> những hạn định ngôn ngữ của CM. Tuy nhiên, cho đến nay, giữa các nhà nghiên cứu còn có những sự bất đồng về cách hiểu CM, hoặc trong sự phân biệt nó với các thuật ngữ gần gũi như trộn mã, vay mượn. </w:t>
      </w:r>
    </w:p>
    <w:p w:rsidR="002C0665" w:rsidRPr="00537AD5" w:rsidRDefault="002C0665" w:rsidP="002C0665">
      <w:pPr>
        <w:spacing w:before="120" w:after="120" w:line="360" w:lineRule="auto"/>
        <w:ind w:firstLine="567"/>
        <w:jc w:val="both"/>
        <w:rPr>
          <w:rFonts w:eastAsiaTheme="majorEastAsia"/>
          <w:lang w:val="pt-BR" w:eastAsia="zh-CN"/>
        </w:rPr>
      </w:pPr>
      <w:r w:rsidRPr="00537AD5">
        <w:rPr>
          <w:rFonts w:eastAsiaTheme="majorEastAsia"/>
          <w:lang w:val="pt-BR" w:eastAsia="zh-CN"/>
        </w:rPr>
        <w:t>Hiện tượng CM trong giao tiếp của người Việt cũng đ</w:t>
      </w:r>
      <w:r w:rsidRPr="00537AD5">
        <w:rPr>
          <w:rFonts w:eastAsia="SimSun"/>
          <w:lang w:val="pt-BR" w:eastAsia="zh-CN"/>
        </w:rPr>
        <w:t>ã</w:t>
      </w:r>
      <w:r w:rsidRPr="00537AD5">
        <w:rPr>
          <w:rFonts w:eastAsiaTheme="majorEastAsia"/>
          <w:lang w:val="pt-BR" w:eastAsia="zh-CN"/>
        </w:rPr>
        <w:t xml:space="preserve"> được bước đầu nghiên cứu. Nhìn chung, các nhà nghiên cứu Việt Nam có xu hướng chia sẻ quan điểm của các học giả nước ngoài khi cho rằng “chuyển mã là việc sử dụng hai hoặc trên hai biến thể ngôn ngữ trong một lần đối thoại” [1, tr. 379]. Để phân biệt CM với trộn. mã, tác giả Nguyễn Văn Khang cho rằng yêu cầu đối với CM là hai mã phải ngang bằng nhau trong khi ở trộn mã thì sẽ có một mã chính và một mã phụ. Để phân biệt CM, trộn mã với vay mượn, tác giả cho rằng vay mượn là việc tái sử dụng một mô thức ngôn ngữ nào đ</w:t>
      </w:r>
      <w:r w:rsidRPr="00537AD5">
        <w:rPr>
          <w:rFonts w:eastAsia="SimSun"/>
          <w:lang w:val="pt-BR" w:eastAsia="zh-CN"/>
        </w:rPr>
        <w:t>ó</w:t>
      </w:r>
      <w:r w:rsidRPr="00537AD5">
        <w:rPr>
          <w:rFonts w:eastAsiaTheme="majorEastAsia"/>
          <w:lang w:val="pt-BR" w:eastAsia="zh-CN"/>
        </w:rPr>
        <w:t xml:space="preserve"> trong ng</w:t>
      </w:r>
      <w:r w:rsidRPr="00537AD5">
        <w:rPr>
          <w:rFonts w:eastAsia="SimSun"/>
          <w:lang w:val="pt-BR" w:eastAsia="zh-CN"/>
        </w:rPr>
        <w:t>ô</w:t>
      </w:r>
      <w:r w:rsidRPr="00537AD5">
        <w:rPr>
          <w:rFonts w:eastAsiaTheme="majorEastAsia"/>
          <w:lang w:val="pt-BR" w:eastAsia="zh-CN"/>
        </w:rPr>
        <w:t xml:space="preserve">n ngữ khác, có thể xuất hiện </w:t>
      </w:r>
      <w:r w:rsidRPr="00537AD5">
        <w:rPr>
          <w:rFonts w:eastAsiaTheme="majorEastAsia"/>
          <w:lang w:val="pt-BR" w:eastAsia="zh-CN"/>
        </w:rPr>
        <w:lastRenderedPageBreak/>
        <w:t>trong ngôn từ của người đơn ngữ hay người đa ngữ, còn CM và trộn mã chỉ xuất hiện trong ngôn ngữ của người đa ngữ trong môi trường đa ngữ xã hội.</w:t>
      </w:r>
    </w:p>
    <w:p w:rsidR="002C0665" w:rsidRPr="00537AD5" w:rsidRDefault="002C0665" w:rsidP="002C0665">
      <w:pPr>
        <w:spacing w:line="360" w:lineRule="auto"/>
        <w:ind w:firstLine="567"/>
        <w:jc w:val="right"/>
        <w:rPr>
          <w:rFonts w:eastAsiaTheme="majorEastAsia"/>
          <w:b/>
          <w:bCs/>
          <w:sz w:val="20"/>
          <w:szCs w:val="20"/>
          <w:lang w:val="pt-BR" w:eastAsia="zh-CN"/>
        </w:rPr>
      </w:pPr>
      <w:r w:rsidRPr="00537AD5">
        <w:rPr>
          <w:rFonts w:eastAsiaTheme="majorEastAsia"/>
          <w:b/>
          <w:bCs/>
          <w:sz w:val="20"/>
          <w:szCs w:val="20"/>
          <w:lang w:val="pt-BR" w:eastAsia="zh-CN"/>
        </w:rPr>
        <w:t>VŨ THỊ THANH HƯƠNG</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b/>
          <w:sz w:val="24"/>
          <w:szCs w:val="24"/>
          <w:lang w:val="pt-BR" w:eastAsia="zh-CN"/>
        </w:rPr>
        <w:t>Tài liệu tham khảo</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Nguyễn Văn Khang, </w:t>
      </w:r>
      <w:r w:rsidRPr="00537AD5">
        <w:rPr>
          <w:rFonts w:ascii="Times New Roman" w:eastAsiaTheme="majorEastAsia" w:hAnsi="Times New Roman"/>
          <w:i/>
          <w:sz w:val="24"/>
          <w:szCs w:val="24"/>
          <w:lang w:val="pt-BR"/>
        </w:rPr>
        <w:t>Ngôn ngữ học xã hội</w:t>
      </w:r>
      <w:r w:rsidRPr="00537AD5">
        <w:rPr>
          <w:rFonts w:ascii="Times New Roman" w:eastAsiaTheme="majorEastAsia" w:hAnsi="Times New Roman"/>
          <w:sz w:val="24"/>
          <w:szCs w:val="24"/>
          <w:lang w:val="pt-BR"/>
        </w:rPr>
        <w:t xml:space="preserve">, Nxb Giáo dục, Hà Nội, 2012. </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Vũ Thị Thanh Hương, </w:t>
      </w:r>
      <w:r w:rsidRPr="00537AD5">
        <w:rPr>
          <w:rFonts w:ascii="Times New Roman" w:eastAsia="SimSun" w:hAnsi="Times New Roman"/>
          <w:sz w:val="24"/>
          <w:szCs w:val="24"/>
          <w:lang w:val="pt-BR"/>
        </w:rPr>
        <w:t>“</w:t>
      </w:r>
      <w:r w:rsidRPr="00537AD5">
        <w:rPr>
          <w:rFonts w:ascii="Times New Roman" w:eastAsiaTheme="majorEastAsia" w:hAnsi="Times New Roman"/>
          <w:sz w:val="24"/>
          <w:szCs w:val="24"/>
          <w:lang w:val="pt-BR"/>
        </w:rPr>
        <w:t>T</w:t>
      </w:r>
      <w:r w:rsidRPr="00537AD5">
        <w:rPr>
          <w:rFonts w:ascii="Times New Roman" w:eastAsia="SimSun" w:hAnsi="Times New Roman"/>
          <w:sz w:val="24"/>
          <w:szCs w:val="24"/>
          <w:lang w:val="pt-BR"/>
        </w:rPr>
        <w:t>ì</w:t>
      </w:r>
      <w:r w:rsidRPr="00537AD5">
        <w:rPr>
          <w:rFonts w:ascii="Times New Roman" w:eastAsiaTheme="majorEastAsia" w:hAnsi="Times New Roman"/>
          <w:sz w:val="24"/>
          <w:szCs w:val="24"/>
          <w:lang w:val="pt-BR"/>
        </w:rPr>
        <w:t>nh h</w:t>
      </w:r>
      <w:r w:rsidRPr="00537AD5">
        <w:rPr>
          <w:rFonts w:ascii="Times New Roman" w:eastAsia="SimSun" w:hAnsi="Times New Roman"/>
          <w:sz w:val="24"/>
          <w:szCs w:val="24"/>
          <w:lang w:val="pt-BR"/>
        </w:rPr>
        <w:t>ì</w:t>
      </w:r>
      <w:r w:rsidRPr="00537AD5">
        <w:rPr>
          <w:rFonts w:ascii="Times New Roman" w:eastAsiaTheme="majorEastAsia" w:hAnsi="Times New Roman"/>
          <w:sz w:val="24"/>
          <w:szCs w:val="24"/>
          <w:lang w:val="pt-BR"/>
        </w:rPr>
        <w:t>nh sử dụng tiếng Việt cùng với tiếng Gia-rai trong dạy học của giáo viên một số lớp 1 vùng dân tộc thiểu số Gia-rai ở Gia Lai”</w:t>
      </w:r>
      <w:r w:rsidRPr="00537AD5">
        <w:rPr>
          <w:rFonts w:ascii="Times New Roman" w:eastAsiaTheme="majorEastAsia" w:hAnsi="Times New Roman"/>
          <w:i/>
          <w:sz w:val="24"/>
          <w:szCs w:val="24"/>
          <w:lang w:val="pt-BR"/>
        </w:rPr>
        <w:t>, Ngôn ngữ</w:t>
      </w:r>
      <w:r w:rsidRPr="00537AD5">
        <w:rPr>
          <w:rFonts w:ascii="Times New Roman" w:eastAsiaTheme="majorEastAsia" w:hAnsi="Times New Roman"/>
          <w:sz w:val="24"/>
          <w:szCs w:val="24"/>
          <w:lang w:val="pt-BR"/>
        </w:rPr>
        <w:t>, số 11, 2016.</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Trịnh Cẩm Lan (2007), </w:t>
      </w:r>
      <w:r w:rsidRPr="00537AD5">
        <w:rPr>
          <w:rFonts w:ascii="Times New Roman" w:eastAsiaTheme="majorEastAsia" w:hAnsi="Times New Roman"/>
          <w:i/>
          <w:sz w:val="24"/>
          <w:szCs w:val="24"/>
          <w:lang w:val="pt-BR"/>
        </w:rPr>
        <w:t>Sự biến đổi ngôn từ của các cộng đồng chuyển cư đến thủ đ</w:t>
      </w:r>
      <w:r w:rsidRPr="00537AD5">
        <w:rPr>
          <w:rFonts w:ascii="Times New Roman" w:eastAsia="SimSun" w:hAnsi="Times New Roman"/>
          <w:i/>
          <w:sz w:val="24"/>
          <w:szCs w:val="24"/>
          <w:lang w:val="pt-BR"/>
        </w:rPr>
        <w:t>ô</w:t>
      </w:r>
      <w:r w:rsidRPr="00537AD5">
        <w:rPr>
          <w:rFonts w:ascii="Times New Roman" w:eastAsiaTheme="majorEastAsia" w:hAnsi="Times New Roman"/>
          <w:i/>
          <w:sz w:val="24"/>
          <w:szCs w:val="24"/>
          <w:lang w:val="pt-BR"/>
        </w:rPr>
        <w:t>. Nghi</w:t>
      </w:r>
      <w:r w:rsidRPr="00537AD5">
        <w:rPr>
          <w:rFonts w:ascii="Times New Roman" w:eastAsia="SimSun" w:hAnsi="Times New Roman"/>
          <w:i/>
          <w:sz w:val="24"/>
          <w:szCs w:val="24"/>
          <w:lang w:val="pt-BR"/>
        </w:rPr>
        <w:t>ê</w:t>
      </w:r>
      <w:r w:rsidRPr="00537AD5">
        <w:rPr>
          <w:rFonts w:ascii="Times New Roman" w:eastAsiaTheme="majorEastAsia" w:hAnsi="Times New Roman"/>
          <w:i/>
          <w:sz w:val="24"/>
          <w:szCs w:val="24"/>
          <w:lang w:val="pt-BR"/>
        </w:rPr>
        <w:t>n cứu trường hợp cộng đồng Nghệ Tĩnh ở Hà Nội</w:t>
      </w:r>
      <w:r w:rsidRPr="00537AD5">
        <w:rPr>
          <w:rFonts w:ascii="Times New Roman" w:eastAsiaTheme="majorEastAsia" w:hAnsi="Times New Roman"/>
          <w:sz w:val="24"/>
          <w:szCs w:val="24"/>
          <w:lang w:val="pt-BR"/>
        </w:rPr>
        <w:t>, Nxb Khoa học xã hội, Hà Nội, 2017.</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4. Barker G., “Social functions of language in a Mexican-American community”</w:t>
      </w:r>
      <w:r w:rsidRPr="00537AD5">
        <w:rPr>
          <w:rFonts w:ascii="Times New Roman" w:eastAsiaTheme="majorEastAsia" w:hAnsi="Times New Roman"/>
          <w:i/>
          <w:sz w:val="24"/>
          <w:szCs w:val="24"/>
          <w:lang w:val="pt-BR"/>
        </w:rPr>
        <w:t>,</w:t>
      </w:r>
      <w:r w:rsidRPr="00537AD5">
        <w:rPr>
          <w:rFonts w:ascii="Times New Roman" w:eastAsiaTheme="majorEastAsia" w:hAnsi="Times New Roman"/>
          <w:sz w:val="24"/>
          <w:szCs w:val="24"/>
          <w:lang w:val="pt-BR"/>
        </w:rPr>
        <w:t xml:space="preserve"> </w:t>
      </w:r>
      <w:r w:rsidRPr="00537AD5">
        <w:rPr>
          <w:rFonts w:ascii="Times New Roman" w:eastAsiaTheme="majorEastAsia" w:hAnsi="Times New Roman"/>
          <w:i/>
          <w:sz w:val="24"/>
          <w:szCs w:val="24"/>
          <w:lang w:val="pt-BR"/>
        </w:rPr>
        <w:t>Acta Americana 5</w:t>
      </w:r>
      <w:r w:rsidRPr="00537AD5">
        <w:rPr>
          <w:rFonts w:ascii="Times New Roman" w:eastAsiaTheme="majorEastAsia" w:hAnsi="Times New Roman"/>
          <w:sz w:val="24"/>
          <w:szCs w:val="24"/>
          <w:lang w:val="pt-BR"/>
        </w:rPr>
        <w:t>, 1947.</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5. Weinreich U., </w:t>
      </w:r>
      <w:r w:rsidRPr="00537AD5">
        <w:rPr>
          <w:rFonts w:ascii="Times New Roman" w:eastAsiaTheme="majorEastAsia" w:hAnsi="Times New Roman"/>
          <w:i/>
          <w:sz w:val="24"/>
          <w:szCs w:val="24"/>
          <w:lang w:val="pt-BR"/>
        </w:rPr>
        <w:t>Language in Contact</w:t>
      </w:r>
      <w:r w:rsidRPr="00537AD5">
        <w:rPr>
          <w:rFonts w:ascii="Times New Roman" w:eastAsiaTheme="majorEastAsia" w:hAnsi="Times New Roman"/>
          <w:sz w:val="24"/>
          <w:szCs w:val="24"/>
          <w:lang w:val="pt-BR"/>
        </w:rPr>
        <w:t xml:space="preserve">, The Hague: Moutonm, 1953. </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6. Blom J. P. &amp; Gumperz J.J., “Social meaning in linguistic structures: Code-switching in Norway</w:t>
      </w:r>
      <w:r w:rsidRPr="00537AD5">
        <w:rPr>
          <w:rFonts w:ascii="Times New Roman" w:eastAsiaTheme="majorEastAsia" w:hAnsi="Times New Roman"/>
          <w:i/>
          <w:sz w:val="24"/>
          <w:szCs w:val="24"/>
          <w:lang w:val="pt-BR"/>
        </w:rPr>
        <w:t>”, Gumperz J.J. &amp; Hymes D. (eds) Directions in Sociolinguistics: The Ethnography of Communication, Holt, Rinehart and Winston</w:t>
      </w:r>
      <w:r w:rsidRPr="00537AD5">
        <w:rPr>
          <w:rFonts w:ascii="Times New Roman" w:eastAsiaTheme="majorEastAsia" w:hAnsi="Times New Roman"/>
          <w:sz w:val="24"/>
          <w:szCs w:val="24"/>
          <w:lang w:val="pt-BR"/>
        </w:rPr>
        <w:t xml:space="preserve">, New York, 1972. </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7. Sankoff D. &amp; Poplack S., “A formal grammar for codeswitching”</w:t>
      </w:r>
      <w:r w:rsidRPr="00537AD5">
        <w:rPr>
          <w:rFonts w:ascii="Times New Roman" w:eastAsiaTheme="majorEastAsia" w:hAnsi="Times New Roman"/>
          <w:i/>
          <w:sz w:val="24"/>
          <w:szCs w:val="24"/>
          <w:lang w:val="pt-BR"/>
        </w:rPr>
        <w:t>, Papers in Linguistics</w:t>
      </w:r>
      <w:r w:rsidRPr="00537AD5">
        <w:rPr>
          <w:rFonts w:ascii="Times New Roman" w:eastAsiaTheme="majorEastAsia" w:hAnsi="Times New Roman"/>
          <w:sz w:val="24"/>
          <w:szCs w:val="24"/>
          <w:lang w:val="pt-BR"/>
        </w:rPr>
        <w:t>, 14, 1981.</w:t>
      </w:r>
    </w:p>
    <w:p w:rsidR="002C0665" w:rsidRPr="00537AD5" w:rsidRDefault="002C0665" w:rsidP="002C0665">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8. Gumperz J., </w:t>
      </w:r>
      <w:r w:rsidRPr="00537AD5">
        <w:rPr>
          <w:rFonts w:ascii="Times New Roman" w:eastAsiaTheme="majorEastAsia" w:hAnsi="Times New Roman"/>
          <w:i/>
          <w:sz w:val="24"/>
          <w:szCs w:val="24"/>
          <w:lang w:val="pt-BR"/>
        </w:rPr>
        <w:t>Discourse strategies, Cambridge: Cambridge University Press</w:t>
      </w:r>
      <w:r w:rsidRPr="00537AD5">
        <w:rPr>
          <w:rFonts w:ascii="Times New Roman" w:eastAsiaTheme="majorEastAsia" w:hAnsi="Times New Roman"/>
          <w:sz w:val="24"/>
          <w:szCs w:val="24"/>
          <w:lang w:val="pt-BR"/>
        </w:rPr>
        <w:t>, 1982.</w:t>
      </w:r>
    </w:p>
    <w:p w:rsidR="0074324B" w:rsidRPr="002C0665" w:rsidRDefault="002C0665">
      <w:pPr>
        <w:rPr>
          <w:lang w:val="pt-BR"/>
        </w:rPr>
      </w:pPr>
      <w:bookmarkStart w:id="0" w:name="_GoBack"/>
      <w:bookmarkEnd w:id="0"/>
    </w:p>
    <w:sectPr w:rsidR="0074324B" w:rsidRPr="002C0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C6"/>
    <w:rsid w:val="002C0665"/>
    <w:rsid w:val="005A6D57"/>
    <w:rsid w:val="007D3409"/>
    <w:rsid w:val="00C02CDB"/>
    <w:rsid w:val="00C652C6"/>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02B3C-C51E-4212-BD0B-632FE66D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665"/>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2C0665"/>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2C0665"/>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2C0665"/>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2C0665"/>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2025-12-12T03:01:00Z</dcterms:created>
  <dcterms:modified xsi:type="dcterms:W3CDTF">2025-12-12T03:01:00Z</dcterms:modified>
</cp:coreProperties>
</file>